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FC" w:rsidRPr="004E5E34" w:rsidRDefault="004E5E34">
      <w:pPr>
        <w:rPr>
          <w:b/>
        </w:rPr>
      </w:pPr>
      <w:r w:rsidRPr="004E5E34">
        <w:rPr>
          <w:b/>
        </w:rPr>
        <w:t>Sondereigentum oder Gemeinschaftseigentum</w:t>
      </w:r>
    </w:p>
    <w:p w:rsidR="004E5E34" w:rsidRDefault="004E5E34"/>
    <w:p w:rsidR="004E5E34" w:rsidRDefault="004E5E34" w:rsidP="004E5E34">
      <w:pPr>
        <w:jc w:val="both"/>
      </w:pPr>
      <w:r>
        <w:t>Gemäß § 5 Abs. 1 WEG sind Gegenstand des Sondereigentums die gemäß § 3 Abs. 1 bestimmten Räume, sowie die zu diesen Räumen gehörenden Bestandteile des Gebäudes, die verändert, beseitigt oder eingefügt werden können, ohne dass dadurch das gemeinschaftliche Eigentum oder ein auf Sondereigentum beruhendes Recht eines anderen Wohnungseigentümers über das nach § 14 zulässige Maß hinaus beeinträchtigt oder die äußere Gestaltung des Gebäudes verändert wird.</w:t>
      </w:r>
    </w:p>
    <w:p w:rsidR="004E5E34" w:rsidRDefault="004E5E34" w:rsidP="004E5E34">
      <w:pPr>
        <w:jc w:val="both"/>
      </w:pPr>
    </w:p>
    <w:p w:rsidR="004E5E34" w:rsidRDefault="004E5E34" w:rsidP="004E5E34">
      <w:pPr>
        <w:jc w:val="both"/>
      </w:pPr>
      <w:r>
        <w:t>Gemäß § 5 Abs. 2 WEG sind Teile des Gebäudes, die für dessen Bestand oder Sicherheit erforderlich sind, sowie Anlagen und Einrichtungen, die dem gemeinschaftlichen Gebrauch der Wohnungseigentümer dienen, nicht Gegenstand des Sondereigentums, selbst wenn sie sich im Bereich der im Sondereigentum stehenden Räume befinden.</w:t>
      </w:r>
    </w:p>
    <w:p w:rsidR="004E5E34" w:rsidRDefault="004E5E34" w:rsidP="004E5E34">
      <w:pPr>
        <w:jc w:val="both"/>
      </w:pPr>
    </w:p>
    <w:p w:rsidR="004E5E34" w:rsidRPr="0054276C" w:rsidRDefault="004E5E34" w:rsidP="004E5E34">
      <w:pPr>
        <w:jc w:val="both"/>
        <w:rPr>
          <w:b/>
          <w:u w:val="single"/>
        </w:rPr>
      </w:pPr>
      <w:bookmarkStart w:id="0" w:name="_GoBack"/>
      <w:r w:rsidRPr="0054276C">
        <w:rPr>
          <w:b/>
          <w:u w:val="single"/>
        </w:rPr>
        <w:t>Einzelfälle</w:t>
      </w:r>
    </w:p>
    <w:bookmarkEnd w:id="0"/>
    <w:p w:rsidR="004E5E34" w:rsidRDefault="004E5E34" w:rsidP="004E5E34">
      <w:pPr>
        <w:jc w:val="both"/>
        <w:rPr>
          <w:b/>
        </w:rPr>
      </w:pPr>
    </w:p>
    <w:p w:rsidR="004E5E34" w:rsidRDefault="004E5E34" w:rsidP="004E5E34">
      <w:pPr>
        <w:jc w:val="both"/>
        <w:rPr>
          <w:b/>
        </w:rPr>
      </w:pPr>
      <w:r w:rsidRPr="004E5E34">
        <w:rPr>
          <w:b/>
        </w:rPr>
        <w:t>Abwasserhebeanlage</w:t>
      </w:r>
    </w:p>
    <w:p w:rsidR="004E5E34" w:rsidRDefault="004E5E34" w:rsidP="004E5E34">
      <w:pPr>
        <w:jc w:val="both"/>
      </w:pPr>
      <w:r>
        <w:t>Beschränkt sich die Anlage lediglich auf die Abwasserentsorgung einer Wohnung, so steht sie im Sondereigentum.  Dient die Anlage auch anderen Wohnungen oder Gemeinschaftsflächen, so steht sie im Gemeinschaftseigentum (</w:t>
      </w:r>
      <w:hyperlink r:id="rId5" w:history="1">
        <w:r w:rsidR="00695928">
          <w:rPr>
            <w:rStyle w:val="Hyperlink"/>
          </w:rPr>
          <w:t>OLG Schleswig, Beschluss</w:t>
        </w:r>
        <w:r w:rsidRPr="004E5E34">
          <w:rPr>
            <w:rStyle w:val="Hyperlink"/>
          </w:rPr>
          <w:t xml:space="preserve"> vom 29.09.2006, 2 W 108/06</w:t>
        </w:r>
      </w:hyperlink>
      <w:r>
        <w:t>).</w:t>
      </w:r>
    </w:p>
    <w:p w:rsidR="007C4F3E" w:rsidRDefault="007C4F3E" w:rsidP="004E5E34">
      <w:pPr>
        <w:jc w:val="both"/>
      </w:pPr>
    </w:p>
    <w:p w:rsidR="007C4F3E" w:rsidRPr="007C4F3E" w:rsidRDefault="007C4F3E" w:rsidP="004E5E34">
      <w:pPr>
        <w:jc w:val="both"/>
        <w:rPr>
          <w:b/>
        </w:rPr>
      </w:pPr>
      <w:r w:rsidRPr="007C4F3E">
        <w:rPr>
          <w:b/>
        </w:rPr>
        <w:t>Außenjalousien</w:t>
      </w:r>
    </w:p>
    <w:p w:rsidR="007C4F3E" w:rsidRDefault="007C4F3E" w:rsidP="004E5E34">
      <w:pPr>
        <w:jc w:val="both"/>
      </w:pPr>
      <w:r>
        <w:t>Außenjalousien verändern das optische Erscheinungsbild des Gebäudes und stehen im Gemeinschaftseigentum (KG ZMR 1985, 344 f.).</w:t>
      </w:r>
    </w:p>
    <w:p w:rsidR="007C4F3E" w:rsidRDefault="007C4F3E" w:rsidP="004E5E34">
      <w:pPr>
        <w:jc w:val="both"/>
      </w:pPr>
    </w:p>
    <w:p w:rsidR="007C4F3E" w:rsidRPr="007C4F3E" w:rsidRDefault="007C4F3E" w:rsidP="004E5E34">
      <w:pPr>
        <w:jc w:val="both"/>
        <w:rPr>
          <w:b/>
        </w:rPr>
      </w:pPr>
      <w:r w:rsidRPr="007C4F3E">
        <w:rPr>
          <w:b/>
        </w:rPr>
        <w:t>Balkon</w:t>
      </w:r>
    </w:p>
    <w:p w:rsidR="007C4F3E" w:rsidRDefault="007C4F3E" w:rsidP="004E5E34">
      <w:pPr>
        <w:jc w:val="both"/>
      </w:pPr>
      <w:r>
        <w:t>Balkonbrüstungen, Balkondecken, Balkonbodenplatten und Balkonisolierungen stehen im Gemeinschaftseigentum (</w:t>
      </w:r>
      <w:hyperlink r:id="rId6" w:history="1">
        <w:r w:rsidRPr="007C4F3E">
          <w:rPr>
            <w:rStyle w:val="Hyperlink"/>
          </w:rPr>
          <w:t>BGH, Urteil vom 25.01.2001, VII ZR 193/99</w:t>
        </w:r>
      </w:hyperlink>
      <w:r>
        <w:t xml:space="preserve">; </w:t>
      </w:r>
      <w:hyperlink r:id="rId7" w:history="1">
        <w:r w:rsidR="00695928">
          <w:rPr>
            <w:rStyle w:val="Hyperlink"/>
          </w:rPr>
          <w:t>OLG Hamm, Beschluss</w:t>
        </w:r>
        <w:r w:rsidRPr="007C4F3E">
          <w:rPr>
            <w:rStyle w:val="Hyperlink"/>
          </w:rPr>
          <w:t xml:space="preserve"> vom 20.11.2006, 15 W 166/06</w:t>
        </w:r>
      </w:hyperlink>
      <w:r>
        <w:t>).</w:t>
      </w:r>
    </w:p>
    <w:p w:rsidR="007C4F3E" w:rsidRDefault="007C4F3E" w:rsidP="004E5E34">
      <w:pPr>
        <w:jc w:val="both"/>
      </w:pPr>
    </w:p>
    <w:p w:rsidR="007C4F3E" w:rsidRDefault="007C4F3E" w:rsidP="004E5E34">
      <w:pPr>
        <w:jc w:val="both"/>
        <w:rPr>
          <w:b/>
        </w:rPr>
      </w:pPr>
      <w:r w:rsidRPr="007C4F3E">
        <w:rPr>
          <w:b/>
        </w:rPr>
        <w:t>Dach</w:t>
      </w:r>
    </w:p>
    <w:p w:rsidR="007C4F3E" w:rsidRDefault="007C4F3E" w:rsidP="004E5E34">
      <w:pPr>
        <w:jc w:val="both"/>
      </w:pPr>
      <w:r>
        <w:t>Das Dach eines Objektes steht im Gemeinschaftseigentum (</w:t>
      </w:r>
      <w:hyperlink r:id="rId8" w:history="1">
        <w:r w:rsidRPr="007C4F3E">
          <w:rPr>
            <w:rStyle w:val="Hyperlink"/>
          </w:rPr>
          <w:t>BGH, Urteil vom 25.01.2001, VII ZR 193/99</w:t>
        </w:r>
      </w:hyperlink>
      <w:r>
        <w:t>).</w:t>
      </w:r>
    </w:p>
    <w:p w:rsidR="007C4F3E" w:rsidRDefault="007C4F3E" w:rsidP="004E5E34">
      <w:pPr>
        <w:jc w:val="both"/>
      </w:pPr>
    </w:p>
    <w:p w:rsidR="0054276C" w:rsidRPr="0054276C" w:rsidRDefault="0054276C" w:rsidP="004E5E34">
      <w:pPr>
        <w:jc w:val="both"/>
        <w:rPr>
          <w:b/>
        </w:rPr>
      </w:pPr>
      <w:proofErr w:type="spellStart"/>
      <w:r w:rsidRPr="0054276C">
        <w:rPr>
          <w:b/>
        </w:rPr>
        <w:t>Doppelparker</w:t>
      </w:r>
      <w:proofErr w:type="spellEnd"/>
      <w:r w:rsidRPr="0054276C">
        <w:rPr>
          <w:b/>
        </w:rPr>
        <w:t xml:space="preserve">- und </w:t>
      </w:r>
      <w:proofErr w:type="spellStart"/>
      <w:r w:rsidRPr="0054276C">
        <w:rPr>
          <w:b/>
        </w:rPr>
        <w:t>Mehrfachparkeranlagen</w:t>
      </w:r>
      <w:proofErr w:type="spellEnd"/>
    </w:p>
    <w:p w:rsidR="0054276C" w:rsidRDefault="0054276C" w:rsidP="004E5E34">
      <w:pPr>
        <w:jc w:val="both"/>
      </w:pPr>
      <w:proofErr w:type="spellStart"/>
      <w:r>
        <w:t>Doppelparker</w:t>
      </w:r>
      <w:proofErr w:type="spellEnd"/>
      <w:r>
        <w:t xml:space="preserve">- und </w:t>
      </w:r>
      <w:proofErr w:type="spellStart"/>
      <w:r>
        <w:t>Mehrfachparkeranlagen</w:t>
      </w:r>
      <w:proofErr w:type="spellEnd"/>
      <w:r>
        <w:t xml:space="preserve"> können im Sondereigentum stehen, wenn die Teilungserklärung dies vorsieht und ein separates Grundbuchblatt angelegt wurde. In diesem Fall wird auch die Hebevorrichtung dem Sondereigentum zugerechnet (Ausnahme: Sie dient auch anderen Anlagen). Die Eigentümer der Anlage bilden eine </w:t>
      </w:r>
      <w:proofErr w:type="spellStart"/>
      <w:r>
        <w:t>Bruchteilsgemeinschaft</w:t>
      </w:r>
      <w:proofErr w:type="spellEnd"/>
      <w:r>
        <w:t xml:space="preserve"> und haften gesamtschuldnerisch gegenüber der WEG. Im Falle einer Auseinandersetzung unter den </w:t>
      </w:r>
      <w:proofErr w:type="spellStart"/>
      <w:r>
        <w:t>Bruchteilseigentümern</w:t>
      </w:r>
      <w:proofErr w:type="spellEnd"/>
      <w:r>
        <w:t xml:space="preserve"> über die Benutzung der Stellplätze handelt es sich um eine Wohnungseigentumssache i. S. des § 43 Nr. 1 WEG (</w:t>
      </w:r>
      <w:hyperlink r:id="rId9" w:history="1">
        <w:r w:rsidRPr="0054276C">
          <w:rPr>
            <w:rStyle w:val="Hyperlink"/>
          </w:rPr>
          <w:t>BGH, Urteil vom 20.02.2014, V ZB 116/13</w:t>
        </w:r>
      </w:hyperlink>
      <w:r>
        <w:t xml:space="preserve">). </w:t>
      </w:r>
    </w:p>
    <w:p w:rsidR="0054276C" w:rsidRDefault="0054276C" w:rsidP="004E5E34">
      <w:pPr>
        <w:jc w:val="both"/>
      </w:pPr>
    </w:p>
    <w:p w:rsidR="007C4F3E" w:rsidRDefault="00695928" w:rsidP="004E5E34">
      <w:pPr>
        <w:jc w:val="both"/>
        <w:rPr>
          <w:b/>
        </w:rPr>
      </w:pPr>
      <w:r w:rsidRPr="00695928">
        <w:rPr>
          <w:b/>
        </w:rPr>
        <w:t>Estrich</w:t>
      </w:r>
    </w:p>
    <w:p w:rsidR="00695928" w:rsidRDefault="00695928" w:rsidP="004E5E34">
      <w:pPr>
        <w:jc w:val="both"/>
      </w:pPr>
      <w:r>
        <w:t>Sofern er der Dämmung und Isolierung dient, ist er dem Gemeinschaftseigentum, sonst dem Sondereigentum zuzuordnen (OLG Düsseldorf, Beschluss vom 04.07.2001, 3 Wx 120/01).</w:t>
      </w:r>
    </w:p>
    <w:p w:rsidR="00695928" w:rsidRDefault="00695928" w:rsidP="004E5E34">
      <w:pPr>
        <w:jc w:val="both"/>
      </w:pPr>
    </w:p>
    <w:p w:rsidR="00695928" w:rsidRDefault="00695928" w:rsidP="004E5E34">
      <w:pPr>
        <w:jc w:val="both"/>
        <w:rPr>
          <w:b/>
        </w:rPr>
      </w:pPr>
      <w:r w:rsidRPr="00695928">
        <w:rPr>
          <w:b/>
        </w:rPr>
        <w:lastRenderedPageBreak/>
        <w:t>Fenster</w:t>
      </w:r>
    </w:p>
    <w:p w:rsidR="00695928" w:rsidRDefault="00695928" w:rsidP="004E5E34">
      <w:pPr>
        <w:jc w:val="both"/>
      </w:pPr>
      <w:r w:rsidRPr="00695928">
        <w:t>Fenster</w:t>
      </w:r>
      <w:r>
        <w:t xml:space="preserve"> stehen im Gemeinschaftseigentum</w:t>
      </w:r>
      <w:r w:rsidR="0054276C">
        <w:t xml:space="preserve"> (</w:t>
      </w:r>
      <w:hyperlink r:id="rId10" w:history="1">
        <w:r w:rsidR="0054276C" w:rsidRPr="0054276C">
          <w:rPr>
            <w:rStyle w:val="Hyperlink"/>
          </w:rPr>
          <w:t>BGH, Urteil vom 23.11.2013, V ZR 46/13</w:t>
        </w:r>
      </w:hyperlink>
      <w:r w:rsidR="0054276C">
        <w:t>)</w:t>
      </w:r>
      <w:r>
        <w:t>.</w:t>
      </w:r>
    </w:p>
    <w:p w:rsidR="00695928" w:rsidRDefault="00695928" w:rsidP="004E5E34">
      <w:pPr>
        <w:jc w:val="both"/>
      </w:pPr>
    </w:p>
    <w:p w:rsidR="00695928" w:rsidRPr="00695928" w:rsidRDefault="00695928" w:rsidP="004E5E34">
      <w:pPr>
        <w:jc w:val="both"/>
        <w:rPr>
          <w:b/>
        </w:rPr>
      </w:pPr>
      <w:r w:rsidRPr="00695928">
        <w:rPr>
          <w:b/>
        </w:rPr>
        <w:t>Fußbodenbelag</w:t>
      </w:r>
    </w:p>
    <w:p w:rsidR="00695928" w:rsidRDefault="00695928" w:rsidP="004E5E34">
      <w:pPr>
        <w:jc w:val="both"/>
      </w:pPr>
      <w:r>
        <w:t>Der Fußbodenbelag (Fliesen Teppich Laminat etc.) steht im Sondereigentum (</w:t>
      </w:r>
      <w:hyperlink r:id="rId11" w:history="1">
        <w:r w:rsidRPr="00695928">
          <w:rPr>
            <w:rStyle w:val="Hyperlink"/>
          </w:rPr>
          <w:t>OLG Düsseldorf, Urteil vom 27.02.2002, 3 Wx 348/01</w:t>
        </w:r>
      </w:hyperlink>
      <w:r>
        <w:t>).</w:t>
      </w:r>
    </w:p>
    <w:p w:rsidR="00695928" w:rsidRDefault="00695928" w:rsidP="004E5E34">
      <w:pPr>
        <w:jc w:val="both"/>
      </w:pPr>
    </w:p>
    <w:p w:rsidR="00695928" w:rsidRDefault="00745A4C" w:rsidP="004E5E34">
      <w:pPr>
        <w:jc w:val="both"/>
        <w:rPr>
          <w:b/>
        </w:rPr>
      </w:pPr>
      <w:r w:rsidRPr="00745A4C">
        <w:rPr>
          <w:b/>
        </w:rPr>
        <w:t>Heizkörper</w:t>
      </w:r>
    </w:p>
    <w:p w:rsidR="00745A4C" w:rsidRPr="00745A4C" w:rsidRDefault="00745A4C" w:rsidP="004E5E34">
      <w:pPr>
        <w:jc w:val="both"/>
      </w:pPr>
      <w:r w:rsidRPr="00745A4C">
        <w:t xml:space="preserve">Heizkörper die sich in einer Wohnung befinden, stehen </w:t>
      </w:r>
      <w:proofErr w:type="spellStart"/>
      <w:r w:rsidRPr="00745A4C">
        <w:t>grds</w:t>
      </w:r>
      <w:proofErr w:type="spellEnd"/>
      <w:r w:rsidRPr="00745A4C">
        <w:t>. im Sondereigentum.</w:t>
      </w:r>
      <w:r>
        <w:t xml:space="preserve"> Etwas anderes gilt dann, wenn sie Voraussetzung für die Funktionsfähigkeit der Heizung insgesamt sind (</w:t>
      </w:r>
      <w:hyperlink r:id="rId12" w:history="1">
        <w:r w:rsidRPr="00745A4C">
          <w:rPr>
            <w:rStyle w:val="Hyperlink"/>
          </w:rPr>
          <w:t>OLG Hamm, Beschluss vom 06.03.2001, 15 W 320/00</w:t>
        </w:r>
      </w:hyperlink>
      <w:r w:rsidR="0072248D">
        <w:t xml:space="preserve">; vgl. auch </w:t>
      </w:r>
      <w:hyperlink r:id="rId13" w:history="1">
        <w:r w:rsidR="0072248D" w:rsidRPr="0072248D">
          <w:rPr>
            <w:rStyle w:val="Hyperlink"/>
          </w:rPr>
          <w:t>BGH, Urteil vom 08.07.2011, V ZR 176/10</w:t>
        </w:r>
      </w:hyperlink>
      <w:r>
        <w:t>).</w:t>
      </w:r>
    </w:p>
    <w:p w:rsidR="00695928" w:rsidRDefault="00695928" w:rsidP="004E5E34">
      <w:pPr>
        <w:jc w:val="both"/>
      </w:pPr>
    </w:p>
    <w:p w:rsidR="00745A4C" w:rsidRDefault="00745A4C" w:rsidP="004E5E34">
      <w:pPr>
        <w:jc w:val="both"/>
        <w:rPr>
          <w:b/>
        </w:rPr>
      </w:pPr>
      <w:r w:rsidRPr="00745A4C">
        <w:rPr>
          <w:b/>
        </w:rPr>
        <w:t>Innenanstrich</w:t>
      </w:r>
    </w:p>
    <w:p w:rsidR="00745A4C" w:rsidRDefault="00745A4C" w:rsidP="004E5E34">
      <w:pPr>
        <w:jc w:val="both"/>
      </w:pPr>
      <w:r w:rsidRPr="00745A4C">
        <w:t>Der Innenanstrich gehört zum Sondereigentum.</w:t>
      </w:r>
    </w:p>
    <w:p w:rsidR="00745A4C" w:rsidRDefault="00745A4C" w:rsidP="004E5E34">
      <w:pPr>
        <w:jc w:val="both"/>
      </w:pPr>
    </w:p>
    <w:p w:rsidR="00745A4C" w:rsidRDefault="00745A4C" w:rsidP="004E5E34">
      <w:pPr>
        <w:jc w:val="both"/>
        <w:rPr>
          <w:b/>
        </w:rPr>
      </w:pPr>
      <w:r w:rsidRPr="00745A4C">
        <w:rPr>
          <w:b/>
        </w:rPr>
        <w:t>Markisen</w:t>
      </w:r>
    </w:p>
    <w:p w:rsidR="00745A4C" w:rsidRDefault="00745A4C" w:rsidP="004E5E34">
      <w:pPr>
        <w:jc w:val="both"/>
      </w:pPr>
      <w:r>
        <w:t>Kennzeichnet eine Markisenanlage die Außenfront eines Gebäudes, so steht sie im Gemeinschaftseigentum (</w:t>
      </w:r>
      <w:hyperlink r:id="rId14" w:history="1">
        <w:r w:rsidRPr="00745A4C">
          <w:rPr>
            <w:rStyle w:val="Hyperlink"/>
          </w:rPr>
          <w:t>OLG Frankfurt, Beschluss vom 17.08.2006, 20 W 205/05</w:t>
        </w:r>
      </w:hyperlink>
      <w:r>
        <w:t>).</w:t>
      </w:r>
    </w:p>
    <w:p w:rsidR="00745A4C" w:rsidRDefault="00745A4C" w:rsidP="004E5E34">
      <w:pPr>
        <w:jc w:val="both"/>
      </w:pPr>
    </w:p>
    <w:p w:rsidR="00745A4C" w:rsidRDefault="00233E3E" w:rsidP="004E5E34">
      <w:pPr>
        <w:jc w:val="both"/>
        <w:rPr>
          <w:b/>
        </w:rPr>
      </w:pPr>
      <w:r w:rsidRPr="00233E3E">
        <w:rPr>
          <w:b/>
        </w:rPr>
        <w:t>Putz</w:t>
      </w:r>
    </w:p>
    <w:p w:rsidR="00233E3E" w:rsidRDefault="00233E3E" w:rsidP="004E5E34">
      <w:pPr>
        <w:jc w:val="both"/>
      </w:pPr>
      <w:r w:rsidRPr="00233E3E">
        <w:t xml:space="preserve">Der Putz auf Decken und Wänden einer Sondereigentumseinheit steht im </w:t>
      </w:r>
      <w:r>
        <w:t>Sondereigentum.</w:t>
      </w:r>
    </w:p>
    <w:p w:rsidR="00233E3E" w:rsidRDefault="00233E3E" w:rsidP="004E5E34">
      <w:pPr>
        <w:jc w:val="both"/>
      </w:pPr>
    </w:p>
    <w:p w:rsidR="00002F7B" w:rsidRDefault="00002F7B" w:rsidP="004E5E34">
      <w:pPr>
        <w:jc w:val="both"/>
        <w:rPr>
          <w:b/>
        </w:rPr>
      </w:pPr>
      <w:r w:rsidRPr="00002F7B">
        <w:rPr>
          <w:b/>
        </w:rPr>
        <w:t>Rauchmelder</w:t>
      </w:r>
    </w:p>
    <w:p w:rsidR="00002F7B" w:rsidRPr="00002F7B" w:rsidRDefault="00002F7B" w:rsidP="004E5E34">
      <w:pPr>
        <w:jc w:val="both"/>
      </w:pPr>
      <w:r>
        <w:t>Wurden Rauchmelder aufgrund eines Beschlusses angebracht, so stehen diese im Gemeinschaftseigentum (</w:t>
      </w:r>
      <w:hyperlink r:id="rId15" w:history="1">
        <w:r w:rsidRPr="00002F7B">
          <w:rPr>
            <w:rStyle w:val="Hyperlink"/>
          </w:rPr>
          <w:t>BGH, Urteil vom 08.02.2013, V ZR 238/11</w:t>
        </w:r>
      </w:hyperlink>
      <w:r>
        <w:t>).</w:t>
      </w:r>
    </w:p>
    <w:p w:rsidR="00002F7B" w:rsidRDefault="00002F7B" w:rsidP="004E5E34">
      <w:pPr>
        <w:jc w:val="both"/>
      </w:pPr>
    </w:p>
    <w:p w:rsidR="00233E3E" w:rsidRDefault="00233E3E" w:rsidP="004E5E34">
      <w:pPr>
        <w:jc w:val="both"/>
        <w:rPr>
          <w:b/>
        </w:rPr>
      </w:pPr>
      <w:r w:rsidRPr="00233E3E">
        <w:rPr>
          <w:b/>
        </w:rPr>
        <w:t>Sprechanlagen</w:t>
      </w:r>
    </w:p>
    <w:p w:rsidR="00233E3E" w:rsidRPr="00233E3E" w:rsidRDefault="00233E3E" w:rsidP="004E5E34">
      <w:pPr>
        <w:jc w:val="both"/>
      </w:pPr>
      <w:r w:rsidRPr="00233E3E">
        <w:t xml:space="preserve">Die Teile der Sprechanlage, </w:t>
      </w:r>
      <w:r>
        <w:t>die sich im Bereich des Sondereigentums befinden und für die Funktionsfähigkeit der Sprechanlage als Ganzes nicht erforderlich sind, stehen im Sondereigentum (</w:t>
      </w:r>
      <w:hyperlink r:id="rId16" w:history="1">
        <w:r w:rsidRPr="00233E3E">
          <w:rPr>
            <w:rStyle w:val="Hyperlink"/>
          </w:rPr>
          <w:t>OLG Köln, Beschluss vom 26.08.2002, 16 Wx 126/02</w:t>
        </w:r>
      </w:hyperlink>
      <w:r>
        <w:t>).</w:t>
      </w:r>
    </w:p>
    <w:p w:rsidR="00233E3E" w:rsidRDefault="00233E3E" w:rsidP="004E5E34">
      <w:pPr>
        <w:jc w:val="both"/>
      </w:pPr>
    </w:p>
    <w:p w:rsidR="00233E3E" w:rsidRDefault="00233E3E" w:rsidP="004E5E34">
      <w:pPr>
        <w:jc w:val="both"/>
        <w:rPr>
          <w:b/>
        </w:rPr>
      </w:pPr>
      <w:r w:rsidRPr="00233E3E">
        <w:rPr>
          <w:b/>
        </w:rPr>
        <w:t>Tapeten</w:t>
      </w:r>
    </w:p>
    <w:p w:rsidR="00233E3E" w:rsidRPr="00233E3E" w:rsidRDefault="00233E3E" w:rsidP="004E5E34">
      <w:pPr>
        <w:jc w:val="both"/>
      </w:pPr>
      <w:r>
        <w:t>Tapeten in der Wohnung st</w:t>
      </w:r>
      <w:r w:rsidRPr="00233E3E">
        <w:t>e</w:t>
      </w:r>
      <w:r>
        <w:t>he</w:t>
      </w:r>
      <w:r w:rsidRPr="00233E3E">
        <w:t>n im Sondereigentum.</w:t>
      </w:r>
    </w:p>
    <w:p w:rsidR="00233E3E" w:rsidRDefault="00233E3E" w:rsidP="004E5E34">
      <w:pPr>
        <w:jc w:val="both"/>
      </w:pPr>
    </w:p>
    <w:p w:rsidR="00E242C5" w:rsidRPr="00E242C5" w:rsidRDefault="00E242C5" w:rsidP="004E5E34">
      <w:pPr>
        <w:jc w:val="both"/>
        <w:rPr>
          <w:b/>
        </w:rPr>
      </w:pPr>
      <w:r w:rsidRPr="00E242C5">
        <w:rPr>
          <w:b/>
        </w:rPr>
        <w:lastRenderedPageBreak/>
        <w:t>Türen</w:t>
      </w:r>
    </w:p>
    <w:p w:rsidR="00E242C5" w:rsidRDefault="00E242C5" w:rsidP="004E5E34">
      <w:pPr>
        <w:jc w:val="both"/>
      </w:pPr>
      <w:r>
        <w:t>Im Sondereigentum gelegene Türen stehen im Sondereigentum. Die Wohnungseingangstüren stehen im Gemeinschaftseigentum (</w:t>
      </w:r>
      <w:hyperlink r:id="rId17" w:history="1">
        <w:r w:rsidRPr="00E242C5">
          <w:rPr>
            <w:rStyle w:val="Hyperlink"/>
          </w:rPr>
          <w:t>BGH, Urteil vom 25.10.2013, V ZR 212/12</w:t>
        </w:r>
      </w:hyperlink>
      <w:r>
        <w:t xml:space="preserve">). </w:t>
      </w:r>
    </w:p>
    <w:p w:rsidR="00E242C5" w:rsidRDefault="00E242C5" w:rsidP="004E5E34">
      <w:pPr>
        <w:jc w:val="both"/>
      </w:pPr>
    </w:p>
    <w:p w:rsidR="00233E3E" w:rsidRPr="00E242C5" w:rsidRDefault="00E242C5" w:rsidP="004E5E34">
      <w:pPr>
        <w:jc w:val="both"/>
        <w:rPr>
          <w:b/>
        </w:rPr>
      </w:pPr>
      <w:r w:rsidRPr="00E242C5">
        <w:rPr>
          <w:b/>
        </w:rPr>
        <w:t>Tragende Wände</w:t>
      </w:r>
    </w:p>
    <w:p w:rsidR="00E242C5" w:rsidRPr="00E242C5" w:rsidRDefault="00E242C5" w:rsidP="004E5E34">
      <w:pPr>
        <w:jc w:val="both"/>
      </w:pPr>
      <w:r w:rsidRPr="00E242C5">
        <w:t xml:space="preserve">Tragende </w:t>
      </w:r>
      <w:r>
        <w:t>Wände stehen im Gemeinschaftseigentum (</w:t>
      </w:r>
      <w:hyperlink r:id="rId18" w:history="1">
        <w:r w:rsidRPr="00E242C5">
          <w:rPr>
            <w:rStyle w:val="Hyperlink"/>
          </w:rPr>
          <w:t>BGH, Beschluss vom 21.12.2000, V ZB 45/00</w:t>
        </w:r>
      </w:hyperlink>
      <w:r>
        <w:t>).</w:t>
      </w:r>
    </w:p>
    <w:p w:rsidR="00E242C5" w:rsidRDefault="00E242C5" w:rsidP="004E5E34">
      <w:pPr>
        <w:jc w:val="both"/>
        <w:rPr>
          <w:b/>
        </w:rPr>
      </w:pPr>
    </w:p>
    <w:p w:rsidR="0072248D" w:rsidRDefault="0072248D" w:rsidP="004E5E34">
      <w:pPr>
        <w:jc w:val="both"/>
        <w:rPr>
          <w:b/>
        </w:rPr>
      </w:pPr>
      <w:r>
        <w:rPr>
          <w:b/>
        </w:rPr>
        <w:t>Verbrauchserfassungsgeräte</w:t>
      </w:r>
    </w:p>
    <w:p w:rsidR="0072248D" w:rsidRPr="0072248D" w:rsidRDefault="0072248D" w:rsidP="004E5E34">
      <w:pPr>
        <w:jc w:val="both"/>
      </w:pPr>
      <w:r>
        <w:t xml:space="preserve">Heizkostenverteiler, Wärmemengenzähler und Wasseruhren stehen im </w:t>
      </w:r>
      <w:r w:rsidR="0054276C">
        <w:t>Gemeinschaftseigentum.</w:t>
      </w:r>
    </w:p>
    <w:p w:rsidR="0072248D" w:rsidRDefault="0072248D" w:rsidP="004E5E34">
      <w:pPr>
        <w:jc w:val="both"/>
        <w:rPr>
          <w:b/>
        </w:rPr>
      </w:pPr>
    </w:p>
    <w:p w:rsidR="0072248D" w:rsidRDefault="0072248D" w:rsidP="0072248D">
      <w:pPr>
        <w:jc w:val="both"/>
        <w:rPr>
          <w:b/>
        </w:rPr>
      </w:pPr>
      <w:r>
        <w:rPr>
          <w:b/>
        </w:rPr>
        <w:t>Versorgungsleitungen</w:t>
      </w:r>
    </w:p>
    <w:p w:rsidR="0072248D" w:rsidRPr="0072248D" w:rsidRDefault="0072248D" w:rsidP="0072248D">
      <w:pPr>
        <w:pStyle w:val="Default"/>
        <w:jc w:val="both"/>
        <w:rPr>
          <w:sz w:val="20"/>
          <w:szCs w:val="20"/>
          <w:lang w:val="de-DE"/>
        </w:rPr>
      </w:pPr>
      <w:r w:rsidRPr="0072248D">
        <w:rPr>
          <w:sz w:val="20"/>
          <w:szCs w:val="20"/>
          <w:lang w:val="de-DE"/>
        </w:rPr>
        <w:t>Versorgungsleitungen, die wesentliche Bestandteile des Gebäudes sind, stehen zwingend im Gemeinschaftseigentum, soweit si</w:t>
      </w:r>
      <w:r>
        <w:rPr>
          <w:sz w:val="20"/>
          <w:szCs w:val="20"/>
          <w:lang w:val="de-DE"/>
        </w:rPr>
        <w:t>e im räumlichen Bereich des Ge</w:t>
      </w:r>
      <w:r w:rsidRPr="0072248D">
        <w:rPr>
          <w:sz w:val="20"/>
          <w:szCs w:val="20"/>
          <w:lang w:val="de-DE"/>
        </w:rPr>
        <w:t>meinschaftseigentums verlaufen. Das gilt auch dann, wenn ein Leitungsstrang ausschließlich der Versorgun</w:t>
      </w:r>
      <w:r>
        <w:rPr>
          <w:sz w:val="20"/>
          <w:szCs w:val="20"/>
          <w:lang w:val="de-DE"/>
        </w:rPr>
        <w:t>g einer einzelnen Wohnung dient.</w:t>
      </w:r>
      <w:r w:rsidRPr="0072248D">
        <w:rPr>
          <w:sz w:val="20"/>
          <w:szCs w:val="20"/>
          <w:lang w:val="de-DE"/>
        </w:rPr>
        <w:t xml:space="preserve"> Zu dem im Gemeinschaftseigent</w:t>
      </w:r>
      <w:r>
        <w:rPr>
          <w:sz w:val="20"/>
          <w:szCs w:val="20"/>
          <w:lang w:val="de-DE"/>
        </w:rPr>
        <w:t>um stehenden Versorgungsnetz ge</w:t>
      </w:r>
      <w:r w:rsidRPr="0072248D">
        <w:rPr>
          <w:sz w:val="20"/>
          <w:szCs w:val="20"/>
          <w:lang w:val="de-DE"/>
        </w:rPr>
        <w:t xml:space="preserve">hören die Leitungen </w:t>
      </w:r>
      <w:r>
        <w:rPr>
          <w:sz w:val="20"/>
          <w:szCs w:val="20"/>
          <w:lang w:val="de-DE"/>
        </w:rPr>
        <w:t xml:space="preserve">dabei </w:t>
      </w:r>
      <w:r w:rsidRPr="0072248D">
        <w:rPr>
          <w:sz w:val="20"/>
          <w:szCs w:val="20"/>
          <w:lang w:val="de-DE"/>
        </w:rPr>
        <w:t>nicht nur bis zu ihrem Eintritt in den räumlichen Ber</w:t>
      </w:r>
      <w:r>
        <w:rPr>
          <w:sz w:val="20"/>
          <w:szCs w:val="20"/>
          <w:lang w:val="de-DE"/>
        </w:rPr>
        <w:t>eich des Sondereigentums</w:t>
      </w:r>
      <w:r w:rsidRPr="0072248D">
        <w:rPr>
          <w:sz w:val="20"/>
          <w:szCs w:val="20"/>
          <w:lang w:val="de-DE"/>
        </w:rPr>
        <w:t xml:space="preserve">, sondern jedenfalls bis zu der ersten für die Handhabung durch den Sondereigentümer </w:t>
      </w:r>
      <w:r>
        <w:rPr>
          <w:sz w:val="20"/>
          <w:szCs w:val="20"/>
          <w:lang w:val="de-DE"/>
        </w:rPr>
        <w:t>vorgesehenen Absperrmöglichkeit</w:t>
      </w:r>
      <w:r w:rsidRPr="0072248D">
        <w:rPr>
          <w:color w:val="auto"/>
          <w:sz w:val="20"/>
          <w:szCs w:val="20"/>
          <w:lang w:val="de-DE"/>
        </w:rPr>
        <w:t>. Je nach Bauweise kann das schon daraus folgen, dass eine - nicht durch Ventile, Eckverbindungen oder ähnliche</w:t>
      </w:r>
      <w:r>
        <w:rPr>
          <w:color w:val="auto"/>
          <w:sz w:val="20"/>
          <w:szCs w:val="20"/>
          <w:lang w:val="de-DE"/>
        </w:rPr>
        <w:t xml:space="preserve"> Zwischenstücke unterteilte Lei</w:t>
      </w:r>
      <w:r w:rsidRPr="0072248D">
        <w:rPr>
          <w:color w:val="auto"/>
          <w:sz w:val="20"/>
          <w:szCs w:val="20"/>
          <w:lang w:val="de-DE"/>
        </w:rPr>
        <w:t>tung eine einheitliche Sache ist, an der nur einheitliches Eigentum bestehen kann. In erster Linie ist hingegen maßgeblich, dass Wasser- und Heizungslei-tungen erst von dem Punkt an ihre Zugehörigkeit zu dem Gesamtnetz verlieren, an dem sie sich durch eine im räumlichen Ber</w:t>
      </w:r>
      <w:r>
        <w:rPr>
          <w:color w:val="auto"/>
          <w:sz w:val="20"/>
          <w:szCs w:val="20"/>
          <w:lang w:val="de-DE"/>
        </w:rPr>
        <w:t>eich des Sondereigentums befind</w:t>
      </w:r>
      <w:r w:rsidRPr="0072248D">
        <w:rPr>
          <w:color w:val="auto"/>
          <w:sz w:val="20"/>
          <w:szCs w:val="20"/>
          <w:lang w:val="de-DE"/>
        </w:rPr>
        <w:t>liche Absperrvor</w:t>
      </w:r>
      <w:r>
        <w:rPr>
          <w:color w:val="auto"/>
          <w:sz w:val="20"/>
          <w:szCs w:val="20"/>
          <w:lang w:val="de-DE"/>
        </w:rPr>
        <w:t>richtung hiervon trennen lassen (</w:t>
      </w:r>
      <w:hyperlink r:id="rId19" w:history="1">
        <w:r w:rsidRPr="0072248D">
          <w:rPr>
            <w:rStyle w:val="Hyperlink"/>
            <w:sz w:val="20"/>
            <w:szCs w:val="20"/>
            <w:lang w:val="de-DE"/>
          </w:rPr>
          <w:t>BGH, Urteil vom 26.10.2012, V ZR 57/12</w:t>
        </w:r>
      </w:hyperlink>
      <w:r>
        <w:rPr>
          <w:color w:val="auto"/>
          <w:sz w:val="20"/>
          <w:szCs w:val="20"/>
          <w:lang w:val="de-DE"/>
        </w:rPr>
        <w:t>).</w:t>
      </w:r>
    </w:p>
    <w:p w:rsidR="0072248D" w:rsidRPr="0072248D" w:rsidRDefault="0072248D" w:rsidP="0072248D">
      <w:pPr>
        <w:jc w:val="both"/>
        <w:rPr>
          <w:sz w:val="20"/>
          <w:szCs w:val="20"/>
        </w:rPr>
      </w:pPr>
    </w:p>
    <w:p w:rsidR="0072248D" w:rsidRPr="0072248D" w:rsidRDefault="0072248D" w:rsidP="0072248D">
      <w:pPr>
        <w:jc w:val="both"/>
        <w:rPr>
          <w:b/>
          <w:sz w:val="20"/>
          <w:szCs w:val="20"/>
        </w:rPr>
      </w:pPr>
    </w:p>
    <w:p w:rsidR="00233E3E" w:rsidRDefault="00233E3E" w:rsidP="004E5E34">
      <w:pPr>
        <w:jc w:val="both"/>
        <w:rPr>
          <w:b/>
        </w:rPr>
      </w:pPr>
      <w:r w:rsidRPr="00233E3E">
        <w:rPr>
          <w:b/>
        </w:rPr>
        <w:t>Wintergarten</w:t>
      </w:r>
    </w:p>
    <w:p w:rsidR="00233E3E" w:rsidRDefault="00233E3E" w:rsidP="004E5E34">
      <w:pPr>
        <w:jc w:val="both"/>
      </w:pPr>
      <w:r>
        <w:t>Ein Wintergarten ist B</w:t>
      </w:r>
      <w:r w:rsidRPr="00233E3E">
        <w:t xml:space="preserve">estandteil des Gesamtgebäudes und </w:t>
      </w:r>
      <w:r>
        <w:t>steht damit im Gemeinschaftseigentum (</w:t>
      </w:r>
      <w:hyperlink r:id="rId20" w:history="1">
        <w:r w:rsidRPr="00233E3E">
          <w:rPr>
            <w:rStyle w:val="Hyperlink"/>
          </w:rPr>
          <w:t>OLG Düsseldorf, Beschluss vom 03.12.2004, I-3 Wx 274/04</w:t>
        </w:r>
      </w:hyperlink>
      <w:r>
        <w:t>).</w:t>
      </w:r>
    </w:p>
    <w:p w:rsidR="00233E3E" w:rsidRDefault="00233E3E" w:rsidP="004E5E34">
      <w:pPr>
        <w:jc w:val="both"/>
      </w:pPr>
    </w:p>
    <w:p w:rsidR="00233E3E" w:rsidRPr="00233E3E" w:rsidRDefault="00233E3E" w:rsidP="004E5E34">
      <w:pPr>
        <w:jc w:val="both"/>
      </w:pPr>
    </w:p>
    <w:sectPr w:rsidR="00233E3E" w:rsidRPr="00233E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34"/>
    <w:rsid w:val="00000AE7"/>
    <w:rsid w:val="00002F7B"/>
    <w:rsid w:val="00003E1D"/>
    <w:rsid w:val="00005879"/>
    <w:rsid w:val="00007F7B"/>
    <w:rsid w:val="000213C9"/>
    <w:rsid w:val="00040980"/>
    <w:rsid w:val="00041E5E"/>
    <w:rsid w:val="000462F9"/>
    <w:rsid w:val="00046D8F"/>
    <w:rsid w:val="00047B48"/>
    <w:rsid w:val="000512E1"/>
    <w:rsid w:val="00051C22"/>
    <w:rsid w:val="000522BC"/>
    <w:rsid w:val="00056D4D"/>
    <w:rsid w:val="00062FA4"/>
    <w:rsid w:val="00063AD1"/>
    <w:rsid w:val="000656B0"/>
    <w:rsid w:val="00066485"/>
    <w:rsid w:val="00074D9E"/>
    <w:rsid w:val="000819F8"/>
    <w:rsid w:val="00082E50"/>
    <w:rsid w:val="00084432"/>
    <w:rsid w:val="00091367"/>
    <w:rsid w:val="00091C90"/>
    <w:rsid w:val="000925AD"/>
    <w:rsid w:val="00097728"/>
    <w:rsid w:val="000A0A89"/>
    <w:rsid w:val="000A3110"/>
    <w:rsid w:val="000A4A39"/>
    <w:rsid w:val="000A536A"/>
    <w:rsid w:val="000A593C"/>
    <w:rsid w:val="000B40D8"/>
    <w:rsid w:val="000B551A"/>
    <w:rsid w:val="000B5D23"/>
    <w:rsid w:val="000B6652"/>
    <w:rsid w:val="000C1FF5"/>
    <w:rsid w:val="000D68A5"/>
    <w:rsid w:val="000E14C5"/>
    <w:rsid w:val="000E19CC"/>
    <w:rsid w:val="000E1C3C"/>
    <w:rsid w:val="000E4946"/>
    <w:rsid w:val="000E7122"/>
    <w:rsid w:val="000F15F3"/>
    <w:rsid w:val="000F3BB8"/>
    <w:rsid w:val="000F69A7"/>
    <w:rsid w:val="00100CC6"/>
    <w:rsid w:val="00107B7F"/>
    <w:rsid w:val="00110028"/>
    <w:rsid w:val="0011101E"/>
    <w:rsid w:val="0011426D"/>
    <w:rsid w:val="00116FFA"/>
    <w:rsid w:val="00122560"/>
    <w:rsid w:val="00126840"/>
    <w:rsid w:val="00127552"/>
    <w:rsid w:val="00132AC6"/>
    <w:rsid w:val="001332D3"/>
    <w:rsid w:val="001332F9"/>
    <w:rsid w:val="001333F5"/>
    <w:rsid w:val="00135C05"/>
    <w:rsid w:val="00135EFB"/>
    <w:rsid w:val="001419EB"/>
    <w:rsid w:val="00144FC1"/>
    <w:rsid w:val="001505D0"/>
    <w:rsid w:val="001531BC"/>
    <w:rsid w:val="0015350F"/>
    <w:rsid w:val="00153E11"/>
    <w:rsid w:val="00156F22"/>
    <w:rsid w:val="00161C59"/>
    <w:rsid w:val="00164697"/>
    <w:rsid w:val="00165737"/>
    <w:rsid w:val="00165EC1"/>
    <w:rsid w:val="001712B7"/>
    <w:rsid w:val="00177E19"/>
    <w:rsid w:val="00177E60"/>
    <w:rsid w:val="00181547"/>
    <w:rsid w:val="0018422F"/>
    <w:rsid w:val="00184874"/>
    <w:rsid w:val="00185C14"/>
    <w:rsid w:val="00191449"/>
    <w:rsid w:val="001A53EC"/>
    <w:rsid w:val="001B4823"/>
    <w:rsid w:val="001C0E69"/>
    <w:rsid w:val="001C151F"/>
    <w:rsid w:val="001C3DEC"/>
    <w:rsid w:val="001C5E94"/>
    <w:rsid w:val="001D25ED"/>
    <w:rsid w:val="001D2C69"/>
    <w:rsid w:val="001D3AD4"/>
    <w:rsid w:val="001D661E"/>
    <w:rsid w:val="001E1EA8"/>
    <w:rsid w:val="001E2A0D"/>
    <w:rsid w:val="001E4BA7"/>
    <w:rsid w:val="001F0063"/>
    <w:rsid w:val="001F0182"/>
    <w:rsid w:val="001F2EFB"/>
    <w:rsid w:val="00201305"/>
    <w:rsid w:val="0020245A"/>
    <w:rsid w:val="00215F7F"/>
    <w:rsid w:val="00216BE3"/>
    <w:rsid w:val="002175AA"/>
    <w:rsid w:val="00217CF7"/>
    <w:rsid w:val="00221190"/>
    <w:rsid w:val="002339AF"/>
    <w:rsid w:val="00233E3E"/>
    <w:rsid w:val="002348E0"/>
    <w:rsid w:val="002417E8"/>
    <w:rsid w:val="00244A12"/>
    <w:rsid w:val="002452A0"/>
    <w:rsid w:val="0024766E"/>
    <w:rsid w:val="00257433"/>
    <w:rsid w:val="00257D4F"/>
    <w:rsid w:val="0026179C"/>
    <w:rsid w:val="002666A1"/>
    <w:rsid w:val="00277B21"/>
    <w:rsid w:val="0028176F"/>
    <w:rsid w:val="00282D64"/>
    <w:rsid w:val="0028350C"/>
    <w:rsid w:val="00295986"/>
    <w:rsid w:val="002A2565"/>
    <w:rsid w:val="002A3C83"/>
    <w:rsid w:val="002A3E06"/>
    <w:rsid w:val="002A50CD"/>
    <w:rsid w:val="002B4530"/>
    <w:rsid w:val="002B4703"/>
    <w:rsid w:val="002B6B57"/>
    <w:rsid w:val="002C0F25"/>
    <w:rsid w:val="002C5AFB"/>
    <w:rsid w:val="002D5803"/>
    <w:rsid w:val="002E1E79"/>
    <w:rsid w:val="002E67F9"/>
    <w:rsid w:val="002F1A04"/>
    <w:rsid w:val="002F2C67"/>
    <w:rsid w:val="002F4E93"/>
    <w:rsid w:val="002F64BD"/>
    <w:rsid w:val="00300FBE"/>
    <w:rsid w:val="00301009"/>
    <w:rsid w:val="00302C34"/>
    <w:rsid w:val="00302EBE"/>
    <w:rsid w:val="00303895"/>
    <w:rsid w:val="00305DDD"/>
    <w:rsid w:val="003074D2"/>
    <w:rsid w:val="00310448"/>
    <w:rsid w:val="00310CEB"/>
    <w:rsid w:val="00310E27"/>
    <w:rsid w:val="00312FDA"/>
    <w:rsid w:val="00317392"/>
    <w:rsid w:val="0031787F"/>
    <w:rsid w:val="00325672"/>
    <w:rsid w:val="00331E2F"/>
    <w:rsid w:val="00343FB7"/>
    <w:rsid w:val="00351E7F"/>
    <w:rsid w:val="00373036"/>
    <w:rsid w:val="003833F8"/>
    <w:rsid w:val="00386835"/>
    <w:rsid w:val="00386B48"/>
    <w:rsid w:val="00392C43"/>
    <w:rsid w:val="003A10D0"/>
    <w:rsid w:val="003A3DCB"/>
    <w:rsid w:val="003B4C4B"/>
    <w:rsid w:val="003B6F03"/>
    <w:rsid w:val="003B708C"/>
    <w:rsid w:val="003C1872"/>
    <w:rsid w:val="003C4347"/>
    <w:rsid w:val="003C4A3D"/>
    <w:rsid w:val="003D29EB"/>
    <w:rsid w:val="003E77D5"/>
    <w:rsid w:val="003F41D2"/>
    <w:rsid w:val="003F7007"/>
    <w:rsid w:val="004000CA"/>
    <w:rsid w:val="00402C57"/>
    <w:rsid w:val="004103A0"/>
    <w:rsid w:val="00412443"/>
    <w:rsid w:val="00413101"/>
    <w:rsid w:val="0041336C"/>
    <w:rsid w:val="00414271"/>
    <w:rsid w:val="00416FCF"/>
    <w:rsid w:val="0042141D"/>
    <w:rsid w:val="00423A5F"/>
    <w:rsid w:val="00424453"/>
    <w:rsid w:val="00424B27"/>
    <w:rsid w:val="004267FC"/>
    <w:rsid w:val="00427DFF"/>
    <w:rsid w:val="004364F0"/>
    <w:rsid w:val="00436B57"/>
    <w:rsid w:val="0044165D"/>
    <w:rsid w:val="004467E2"/>
    <w:rsid w:val="004537DA"/>
    <w:rsid w:val="00460021"/>
    <w:rsid w:val="004606D8"/>
    <w:rsid w:val="00461557"/>
    <w:rsid w:val="00464480"/>
    <w:rsid w:val="00473CEA"/>
    <w:rsid w:val="00483238"/>
    <w:rsid w:val="00485039"/>
    <w:rsid w:val="00490C5E"/>
    <w:rsid w:val="00492478"/>
    <w:rsid w:val="00497A7B"/>
    <w:rsid w:val="004A359E"/>
    <w:rsid w:val="004A3AED"/>
    <w:rsid w:val="004A409F"/>
    <w:rsid w:val="004A54E9"/>
    <w:rsid w:val="004B3C04"/>
    <w:rsid w:val="004B3C54"/>
    <w:rsid w:val="004B4D08"/>
    <w:rsid w:val="004C3199"/>
    <w:rsid w:val="004C5490"/>
    <w:rsid w:val="004C72E9"/>
    <w:rsid w:val="004C75E6"/>
    <w:rsid w:val="004D1A1A"/>
    <w:rsid w:val="004D1EAA"/>
    <w:rsid w:val="004D225C"/>
    <w:rsid w:val="004D417E"/>
    <w:rsid w:val="004D5551"/>
    <w:rsid w:val="004E2934"/>
    <w:rsid w:val="004E2DDA"/>
    <w:rsid w:val="004E3E99"/>
    <w:rsid w:val="004E5E34"/>
    <w:rsid w:val="004E6F46"/>
    <w:rsid w:val="0050000D"/>
    <w:rsid w:val="005017E2"/>
    <w:rsid w:val="0050604D"/>
    <w:rsid w:val="005076F3"/>
    <w:rsid w:val="005100EE"/>
    <w:rsid w:val="00517B22"/>
    <w:rsid w:val="005249AE"/>
    <w:rsid w:val="00525BE8"/>
    <w:rsid w:val="0052771B"/>
    <w:rsid w:val="00530A04"/>
    <w:rsid w:val="005344E2"/>
    <w:rsid w:val="00535415"/>
    <w:rsid w:val="0054014F"/>
    <w:rsid w:val="0054276C"/>
    <w:rsid w:val="00550E82"/>
    <w:rsid w:val="00551ADD"/>
    <w:rsid w:val="005548AD"/>
    <w:rsid w:val="005602FE"/>
    <w:rsid w:val="00562A61"/>
    <w:rsid w:val="00563F78"/>
    <w:rsid w:val="0056604A"/>
    <w:rsid w:val="005666F0"/>
    <w:rsid w:val="00566B09"/>
    <w:rsid w:val="00567CC8"/>
    <w:rsid w:val="005707AD"/>
    <w:rsid w:val="00580C07"/>
    <w:rsid w:val="00583222"/>
    <w:rsid w:val="00585CCB"/>
    <w:rsid w:val="005930B8"/>
    <w:rsid w:val="00594ABE"/>
    <w:rsid w:val="00595BF0"/>
    <w:rsid w:val="00596D9F"/>
    <w:rsid w:val="0059708F"/>
    <w:rsid w:val="005A166D"/>
    <w:rsid w:val="005A30CC"/>
    <w:rsid w:val="005A494D"/>
    <w:rsid w:val="005A72C4"/>
    <w:rsid w:val="005B0927"/>
    <w:rsid w:val="005B35CD"/>
    <w:rsid w:val="005B6A32"/>
    <w:rsid w:val="005C7793"/>
    <w:rsid w:val="005E1648"/>
    <w:rsid w:val="005E34B5"/>
    <w:rsid w:val="005E6258"/>
    <w:rsid w:val="005F1136"/>
    <w:rsid w:val="005F7256"/>
    <w:rsid w:val="00600675"/>
    <w:rsid w:val="00600A8B"/>
    <w:rsid w:val="00600EA4"/>
    <w:rsid w:val="00601D7F"/>
    <w:rsid w:val="006118B0"/>
    <w:rsid w:val="00617C89"/>
    <w:rsid w:val="00624600"/>
    <w:rsid w:val="0062523F"/>
    <w:rsid w:val="006324C6"/>
    <w:rsid w:val="0063657C"/>
    <w:rsid w:val="00640828"/>
    <w:rsid w:val="00643767"/>
    <w:rsid w:val="00645840"/>
    <w:rsid w:val="00646935"/>
    <w:rsid w:val="006507ED"/>
    <w:rsid w:val="006508F2"/>
    <w:rsid w:val="00656BF4"/>
    <w:rsid w:val="0066634A"/>
    <w:rsid w:val="00666A59"/>
    <w:rsid w:val="006702A6"/>
    <w:rsid w:val="006710A8"/>
    <w:rsid w:val="00672858"/>
    <w:rsid w:val="00673BCB"/>
    <w:rsid w:val="00674864"/>
    <w:rsid w:val="00682993"/>
    <w:rsid w:val="006840DE"/>
    <w:rsid w:val="0068424A"/>
    <w:rsid w:val="00686556"/>
    <w:rsid w:val="00692EC9"/>
    <w:rsid w:val="00695928"/>
    <w:rsid w:val="00695F50"/>
    <w:rsid w:val="006A320D"/>
    <w:rsid w:val="006A4CB7"/>
    <w:rsid w:val="006A5BF6"/>
    <w:rsid w:val="006B2F0C"/>
    <w:rsid w:val="006C028E"/>
    <w:rsid w:val="006C3AA5"/>
    <w:rsid w:val="006C449B"/>
    <w:rsid w:val="006D0067"/>
    <w:rsid w:val="006D637E"/>
    <w:rsid w:val="006D63DF"/>
    <w:rsid w:val="006D66EE"/>
    <w:rsid w:val="006E1CC3"/>
    <w:rsid w:val="006E595B"/>
    <w:rsid w:val="006F1989"/>
    <w:rsid w:val="006F202D"/>
    <w:rsid w:val="006F38D8"/>
    <w:rsid w:val="006F67DA"/>
    <w:rsid w:val="006F79C2"/>
    <w:rsid w:val="007032C0"/>
    <w:rsid w:val="00711F20"/>
    <w:rsid w:val="00713E5C"/>
    <w:rsid w:val="00720D23"/>
    <w:rsid w:val="0072248D"/>
    <w:rsid w:val="00723024"/>
    <w:rsid w:val="007257D1"/>
    <w:rsid w:val="00730C64"/>
    <w:rsid w:val="007311C2"/>
    <w:rsid w:val="0074001F"/>
    <w:rsid w:val="00740AD4"/>
    <w:rsid w:val="00740D42"/>
    <w:rsid w:val="00740E9E"/>
    <w:rsid w:val="00744BE2"/>
    <w:rsid w:val="007450CF"/>
    <w:rsid w:val="00745A4C"/>
    <w:rsid w:val="007476D7"/>
    <w:rsid w:val="00754CD9"/>
    <w:rsid w:val="00756127"/>
    <w:rsid w:val="0076022A"/>
    <w:rsid w:val="0076261D"/>
    <w:rsid w:val="00770664"/>
    <w:rsid w:val="007773E0"/>
    <w:rsid w:val="007823FC"/>
    <w:rsid w:val="00784476"/>
    <w:rsid w:val="00784706"/>
    <w:rsid w:val="007871F1"/>
    <w:rsid w:val="007A2137"/>
    <w:rsid w:val="007A30BA"/>
    <w:rsid w:val="007A3B61"/>
    <w:rsid w:val="007A3F38"/>
    <w:rsid w:val="007A7F4C"/>
    <w:rsid w:val="007B3BDE"/>
    <w:rsid w:val="007B7B94"/>
    <w:rsid w:val="007C1991"/>
    <w:rsid w:val="007C2771"/>
    <w:rsid w:val="007C4775"/>
    <w:rsid w:val="007C4F3E"/>
    <w:rsid w:val="007C6C26"/>
    <w:rsid w:val="007D028C"/>
    <w:rsid w:val="007D08F3"/>
    <w:rsid w:val="007D099A"/>
    <w:rsid w:val="007D2A8E"/>
    <w:rsid w:val="007D5504"/>
    <w:rsid w:val="007E5DF7"/>
    <w:rsid w:val="007E72AB"/>
    <w:rsid w:val="007F0FA4"/>
    <w:rsid w:val="007F13E5"/>
    <w:rsid w:val="007F7600"/>
    <w:rsid w:val="007F79CE"/>
    <w:rsid w:val="008078DE"/>
    <w:rsid w:val="00810F60"/>
    <w:rsid w:val="0081351F"/>
    <w:rsid w:val="0081741D"/>
    <w:rsid w:val="00820F22"/>
    <w:rsid w:val="008215CC"/>
    <w:rsid w:val="0082460E"/>
    <w:rsid w:val="00830275"/>
    <w:rsid w:val="00834CBE"/>
    <w:rsid w:val="008435BA"/>
    <w:rsid w:val="00847FA5"/>
    <w:rsid w:val="0085027B"/>
    <w:rsid w:val="00861E50"/>
    <w:rsid w:val="0086212E"/>
    <w:rsid w:val="0086227A"/>
    <w:rsid w:val="008829DB"/>
    <w:rsid w:val="00884843"/>
    <w:rsid w:val="00887CDD"/>
    <w:rsid w:val="00893867"/>
    <w:rsid w:val="00893F6F"/>
    <w:rsid w:val="008941E1"/>
    <w:rsid w:val="00895CB6"/>
    <w:rsid w:val="008A096A"/>
    <w:rsid w:val="008A1A58"/>
    <w:rsid w:val="008A50E6"/>
    <w:rsid w:val="008A75A7"/>
    <w:rsid w:val="008B1298"/>
    <w:rsid w:val="008B1C3D"/>
    <w:rsid w:val="008B25E2"/>
    <w:rsid w:val="008B3947"/>
    <w:rsid w:val="008B5C86"/>
    <w:rsid w:val="008B7E5D"/>
    <w:rsid w:val="008C383A"/>
    <w:rsid w:val="008C54A2"/>
    <w:rsid w:val="008D2938"/>
    <w:rsid w:val="008D372D"/>
    <w:rsid w:val="008D5567"/>
    <w:rsid w:val="008D787D"/>
    <w:rsid w:val="008E2363"/>
    <w:rsid w:val="008F0597"/>
    <w:rsid w:val="008F0C81"/>
    <w:rsid w:val="008F345D"/>
    <w:rsid w:val="008F3B43"/>
    <w:rsid w:val="008F5233"/>
    <w:rsid w:val="008F6FA9"/>
    <w:rsid w:val="00903C3F"/>
    <w:rsid w:val="009062D5"/>
    <w:rsid w:val="00910228"/>
    <w:rsid w:val="00913709"/>
    <w:rsid w:val="00915A6E"/>
    <w:rsid w:val="00922554"/>
    <w:rsid w:val="00922DDD"/>
    <w:rsid w:val="009250E7"/>
    <w:rsid w:val="00925541"/>
    <w:rsid w:val="00930E03"/>
    <w:rsid w:val="0093246A"/>
    <w:rsid w:val="009377FA"/>
    <w:rsid w:val="00937BA3"/>
    <w:rsid w:val="00946C38"/>
    <w:rsid w:val="009500CC"/>
    <w:rsid w:val="00954E04"/>
    <w:rsid w:val="00961C52"/>
    <w:rsid w:val="0096221A"/>
    <w:rsid w:val="00962B1F"/>
    <w:rsid w:val="009641B7"/>
    <w:rsid w:val="00964F39"/>
    <w:rsid w:val="009725DF"/>
    <w:rsid w:val="009737EC"/>
    <w:rsid w:val="00982290"/>
    <w:rsid w:val="00982316"/>
    <w:rsid w:val="00983BAD"/>
    <w:rsid w:val="00984F15"/>
    <w:rsid w:val="0098673C"/>
    <w:rsid w:val="00986841"/>
    <w:rsid w:val="00986D09"/>
    <w:rsid w:val="00990A9F"/>
    <w:rsid w:val="00991C1D"/>
    <w:rsid w:val="0099426C"/>
    <w:rsid w:val="009A0097"/>
    <w:rsid w:val="009A1632"/>
    <w:rsid w:val="009A2160"/>
    <w:rsid w:val="009A564A"/>
    <w:rsid w:val="009A5DA3"/>
    <w:rsid w:val="009A748C"/>
    <w:rsid w:val="009A7545"/>
    <w:rsid w:val="009B2CBF"/>
    <w:rsid w:val="009B6148"/>
    <w:rsid w:val="009B79E3"/>
    <w:rsid w:val="009C0843"/>
    <w:rsid w:val="009C6F41"/>
    <w:rsid w:val="009D3463"/>
    <w:rsid w:val="009D582E"/>
    <w:rsid w:val="009D7E8D"/>
    <w:rsid w:val="009F181E"/>
    <w:rsid w:val="009F4F74"/>
    <w:rsid w:val="00A016DC"/>
    <w:rsid w:val="00A01AF8"/>
    <w:rsid w:val="00A01D3E"/>
    <w:rsid w:val="00A0274C"/>
    <w:rsid w:val="00A03FE6"/>
    <w:rsid w:val="00A04710"/>
    <w:rsid w:val="00A13E77"/>
    <w:rsid w:val="00A25F7D"/>
    <w:rsid w:val="00A3037F"/>
    <w:rsid w:val="00A321F3"/>
    <w:rsid w:val="00A339BE"/>
    <w:rsid w:val="00A41207"/>
    <w:rsid w:val="00A41338"/>
    <w:rsid w:val="00A42E75"/>
    <w:rsid w:val="00A43B7E"/>
    <w:rsid w:val="00A4612C"/>
    <w:rsid w:val="00A50676"/>
    <w:rsid w:val="00A65FF4"/>
    <w:rsid w:val="00A6603F"/>
    <w:rsid w:val="00A669EC"/>
    <w:rsid w:val="00A72794"/>
    <w:rsid w:val="00A76AA6"/>
    <w:rsid w:val="00A80889"/>
    <w:rsid w:val="00A80E28"/>
    <w:rsid w:val="00A819E9"/>
    <w:rsid w:val="00A84E47"/>
    <w:rsid w:val="00A85C84"/>
    <w:rsid w:val="00A86C3C"/>
    <w:rsid w:val="00A86D44"/>
    <w:rsid w:val="00A87652"/>
    <w:rsid w:val="00A93843"/>
    <w:rsid w:val="00AA3E98"/>
    <w:rsid w:val="00AA59F3"/>
    <w:rsid w:val="00AA637B"/>
    <w:rsid w:val="00AB2FC2"/>
    <w:rsid w:val="00AB3F29"/>
    <w:rsid w:val="00AB60FE"/>
    <w:rsid w:val="00AC0834"/>
    <w:rsid w:val="00AC4D84"/>
    <w:rsid w:val="00AC71F2"/>
    <w:rsid w:val="00AD564A"/>
    <w:rsid w:val="00AE1188"/>
    <w:rsid w:val="00AE4718"/>
    <w:rsid w:val="00AE4CEA"/>
    <w:rsid w:val="00AE54CC"/>
    <w:rsid w:val="00AE6B46"/>
    <w:rsid w:val="00AF01F0"/>
    <w:rsid w:val="00AF040C"/>
    <w:rsid w:val="00AF1258"/>
    <w:rsid w:val="00AF66C6"/>
    <w:rsid w:val="00AF6722"/>
    <w:rsid w:val="00AF6F0D"/>
    <w:rsid w:val="00B00049"/>
    <w:rsid w:val="00B05C52"/>
    <w:rsid w:val="00B06090"/>
    <w:rsid w:val="00B1074F"/>
    <w:rsid w:val="00B1169B"/>
    <w:rsid w:val="00B13505"/>
    <w:rsid w:val="00B208BC"/>
    <w:rsid w:val="00B21C4A"/>
    <w:rsid w:val="00B25757"/>
    <w:rsid w:val="00B307F1"/>
    <w:rsid w:val="00B423E1"/>
    <w:rsid w:val="00B4735E"/>
    <w:rsid w:val="00B520CA"/>
    <w:rsid w:val="00B545C1"/>
    <w:rsid w:val="00B548AC"/>
    <w:rsid w:val="00B55293"/>
    <w:rsid w:val="00B622E2"/>
    <w:rsid w:val="00B6248D"/>
    <w:rsid w:val="00B653D7"/>
    <w:rsid w:val="00B67DD6"/>
    <w:rsid w:val="00B715B6"/>
    <w:rsid w:val="00B7377E"/>
    <w:rsid w:val="00B80F99"/>
    <w:rsid w:val="00B81441"/>
    <w:rsid w:val="00B82986"/>
    <w:rsid w:val="00B915C9"/>
    <w:rsid w:val="00B95D7A"/>
    <w:rsid w:val="00B96B18"/>
    <w:rsid w:val="00B96C50"/>
    <w:rsid w:val="00BA14B5"/>
    <w:rsid w:val="00BA2A58"/>
    <w:rsid w:val="00BA56AB"/>
    <w:rsid w:val="00BA5A00"/>
    <w:rsid w:val="00BB00A9"/>
    <w:rsid w:val="00BB466F"/>
    <w:rsid w:val="00BC2A6E"/>
    <w:rsid w:val="00BC6226"/>
    <w:rsid w:val="00BD02B8"/>
    <w:rsid w:val="00BD16F4"/>
    <w:rsid w:val="00BD4F0D"/>
    <w:rsid w:val="00BD63D9"/>
    <w:rsid w:val="00BD6CF4"/>
    <w:rsid w:val="00BE4A93"/>
    <w:rsid w:val="00BE5BAB"/>
    <w:rsid w:val="00BE64C9"/>
    <w:rsid w:val="00BF0080"/>
    <w:rsid w:val="00BF345B"/>
    <w:rsid w:val="00BF52B0"/>
    <w:rsid w:val="00BF6278"/>
    <w:rsid w:val="00C0051E"/>
    <w:rsid w:val="00C025E6"/>
    <w:rsid w:val="00C1680C"/>
    <w:rsid w:val="00C2244C"/>
    <w:rsid w:val="00C22BA5"/>
    <w:rsid w:val="00C241D1"/>
    <w:rsid w:val="00C25F61"/>
    <w:rsid w:val="00C26D46"/>
    <w:rsid w:val="00C33E97"/>
    <w:rsid w:val="00C4083E"/>
    <w:rsid w:val="00C41168"/>
    <w:rsid w:val="00C564E0"/>
    <w:rsid w:val="00C65954"/>
    <w:rsid w:val="00C71FAE"/>
    <w:rsid w:val="00C7322A"/>
    <w:rsid w:val="00C761DF"/>
    <w:rsid w:val="00C773C7"/>
    <w:rsid w:val="00C80E89"/>
    <w:rsid w:val="00C90B3B"/>
    <w:rsid w:val="00CA2F16"/>
    <w:rsid w:val="00CA48FD"/>
    <w:rsid w:val="00CA5321"/>
    <w:rsid w:val="00CB3EFB"/>
    <w:rsid w:val="00CC1621"/>
    <w:rsid w:val="00CC44D6"/>
    <w:rsid w:val="00CC5605"/>
    <w:rsid w:val="00CD4C09"/>
    <w:rsid w:val="00CE09D7"/>
    <w:rsid w:val="00CE1649"/>
    <w:rsid w:val="00CE48FD"/>
    <w:rsid w:val="00CE5ED0"/>
    <w:rsid w:val="00CF21B6"/>
    <w:rsid w:val="00CF448A"/>
    <w:rsid w:val="00D012CD"/>
    <w:rsid w:val="00D12B94"/>
    <w:rsid w:val="00D1355C"/>
    <w:rsid w:val="00D13D78"/>
    <w:rsid w:val="00D15308"/>
    <w:rsid w:val="00D17870"/>
    <w:rsid w:val="00D205C5"/>
    <w:rsid w:val="00D21A7D"/>
    <w:rsid w:val="00D21FAF"/>
    <w:rsid w:val="00D23826"/>
    <w:rsid w:val="00D2565C"/>
    <w:rsid w:val="00D25F99"/>
    <w:rsid w:val="00D32DE2"/>
    <w:rsid w:val="00D40265"/>
    <w:rsid w:val="00D41AB4"/>
    <w:rsid w:val="00D44C0C"/>
    <w:rsid w:val="00D44DE6"/>
    <w:rsid w:val="00D465E2"/>
    <w:rsid w:val="00D4739D"/>
    <w:rsid w:val="00D50F74"/>
    <w:rsid w:val="00D513C3"/>
    <w:rsid w:val="00D572FD"/>
    <w:rsid w:val="00D6166E"/>
    <w:rsid w:val="00D6177A"/>
    <w:rsid w:val="00D6286A"/>
    <w:rsid w:val="00D645BD"/>
    <w:rsid w:val="00D6535F"/>
    <w:rsid w:val="00D65D98"/>
    <w:rsid w:val="00D70933"/>
    <w:rsid w:val="00D7265D"/>
    <w:rsid w:val="00D84D44"/>
    <w:rsid w:val="00D90F46"/>
    <w:rsid w:val="00D925A2"/>
    <w:rsid w:val="00D943CA"/>
    <w:rsid w:val="00DA07F4"/>
    <w:rsid w:val="00DA0C21"/>
    <w:rsid w:val="00DA1C22"/>
    <w:rsid w:val="00DA1F55"/>
    <w:rsid w:val="00DA3512"/>
    <w:rsid w:val="00DA503C"/>
    <w:rsid w:val="00DA5646"/>
    <w:rsid w:val="00DB7129"/>
    <w:rsid w:val="00DC1BC3"/>
    <w:rsid w:val="00DC3798"/>
    <w:rsid w:val="00DC39FD"/>
    <w:rsid w:val="00DC4577"/>
    <w:rsid w:val="00DC6D9D"/>
    <w:rsid w:val="00DD0F98"/>
    <w:rsid w:val="00DD304D"/>
    <w:rsid w:val="00DE1E64"/>
    <w:rsid w:val="00DE5205"/>
    <w:rsid w:val="00DE698F"/>
    <w:rsid w:val="00DF3529"/>
    <w:rsid w:val="00DF43AA"/>
    <w:rsid w:val="00DF4AE8"/>
    <w:rsid w:val="00DF6771"/>
    <w:rsid w:val="00DF6867"/>
    <w:rsid w:val="00E01207"/>
    <w:rsid w:val="00E044AA"/>
    <w:rsid w:val="00E10744"/>
    <w:rsid w:val="00E10C25"/>
    <w:rsid w:val="00E14FD5"/>
    <w:rsid w:val="00E1603C"/>
    <w:rsid w:val="00E2201E"/>
    <w:rsid w:val="00E224BF"/>
    <w:rsid w:val="00E23536"/>
    <w:rsid w:val="00E242C5"/>
    <w:rsid w:val="00E25469"/>
    <w:rsid w:val="00E2569F"/>
    <w:rsid w:val="00E31C2A"/>
    <w:rsid w:val="00E33C6A"/>
    <w:rsid w:val="00E34601"/>
    <w:rsid w:val="00E435F0"/>
    <w:rsid w:val="00E52F30"/>
    <w:rsid w:val="00E54FEB"/>
    <w:rsid w:val="00E55327"/>
    <w:rsid w:val="00E55BA5"/>
    <w:rsid w:val="00E57C4F"/>
    <w:rsid w:val="00E60F61"/>
    <w:rsid w:val="00E64E15"/>
    <w:rsid w:val="00E7272E"/>
    <w:rsid w:val="00E74648"/>
    <w:rsid w:val="00E7592F"/>
    <w:rsid w:val="00E846C0"/>
    <w:rsid w:val="00E84888"/>
    <w:rsid w:val="00E9018C"/>
    <w:rsid w:val="00E91C10"/>
    <w:rsid w:val="00EA5A0B"/>
    <w:rsid w:val="00EB396A"/>
    <w:rsid w:val="00EB73C8"/>
    <w:rsid w:val="00EB7CE1"/>
    <w:rsid w:val="00EC1DE0"/>
    <w:rsid w:val="00EC3FB2"/>
    <w:rsid w:val="00EC48CB"/>
    <w:rsid w:val="00ED3A50"/>
    <w:rsid w:val="00ED61E1"/>
    <w:rsid w:val="00EE00B6"/>
    <w:rsid w:val="00EE19E5"/>
    <w:rsid w:val="00EE795F"/>
    <w:rsid w:val="00EF0D73"/>
    <w:rsid w:val="00EF3828"/>
    <w:rsid w:val="00F04E3C"/>
    <w:rsid w:val="00F12885"/>
    <w:rsid w:val="00F12C8F"/>
    <w:rsid w:val="00F1327F"/>
    <w:rsid w:val="00F1611B"/>
    <w:rsid w:val="00F2081E"/>
    <w:rsid w:val="00F21707"/>
    <w:rsid w:val="00F255FE"/>
    <w:rsid w:val="00F27771"/>
    <w:rsid w:val="00F3090E"/>
    <w:rsid w:val="00F313A6"/>
    <w:rsid w:val="00F34A9A"/>
    <w:rsid w:val="00F36440"/>
    <w:rsid w:val="00F439C5"/>
    <w:rsid w:val="00F516F6"/>
    <w:rsid w:val="00F52ACA"/>
    <w:rsid w:val="00F60C48"/>
    <w:rsid w:val="00F62BD0"/>
    <w:rsid w:val="00F62FEB"/>
    <w:rsid w:val="00F724FF"/>
    <w:rsid w:val="00F73B29"/>
    <w:rsid w:val="00F756EF"/>
    <w:rsid w:val="00F877B4"/>
    <w:rsid w:val="00F95E03"/>
    <w:rsid w:val="00FA0E5F"/>
    <w:rsid w:val="00FA4656"/>
    <w:rsid w:val="00FA4AA1"/>
    <w:rsid w:val="00FB0670"/>
    <w:rsid w:val="00FB1B95"/>
    <w:rsid w:val="00FB2B61"/>
    <w:rsid w:val="00FC1C79"/>
    <w:rsid w:val="00FC1C9E"/>
    <w:rsid w:val="00FC20DF"/>
    <w:rsid w:val="00FC2C5E"/>
    <w:rsid w:val="00FD650E"/>
    <w:rsid w:val="00FE259C"/>
    <w:rsid w:val="00FE32CB"/>
    <w:rsid w:val="00FE425C"/>
    <w:rsid w:val="00FE75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EE3D1-7CFC-46DD-959C-DD7B211C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72248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E5E34"/>
    <w:rPr>
      <w:color w:val="0563C1" w:themeColor="hyperlink"/>
      <w:u w:val="single"/>
    </w:rPr>
  </w:style>
  <w:style w:type="character" w:customStyle="1" w:styleId="berschrift2Zchn">
    <w:name w:val="Überschrift 2 Zchn"/>
    <w:basedOn w:val="Absatz-Standardschriftart"/>
    <w:link w:val="berschrift2"/>
    <w:uiPriority w:val="9"/>
    <w:rsid w:val="0072248D"/>
    <w:rPr>
      <w:rFonts w:ascii="Times New Roman" w:eastAsia="Times New Roman" w:hAnsi="Times New Roman" w:cs="Times New Roman"/>
      <w:b/>
      <w:bCs/>
      <w:sz w:val="36"/>
      <w:szCs w:val="36"/>
      <w:lang w:val="en-US"/>
    </w:rPr>
  </w:style>
  <w:style w:type="paragraph" w:customStyle="1" w:styleId="Default">
    <w:name w:val="Default"/>
    <w:rsid w:val="0072248D"/>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84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gerichtshof.de/cgi-bin/rechtsprechung/document.py?Gericht=bgh&amp;Art=en&amp;nr=22576&amp;pos=0&amp;anz=1" TargetMode="External"/><Relationship Id="rId13" Type="http://schemas.openxmlformats.org/officeDocument/2006/relationships/hyperlink" Target="http://juris.bundesgerichtshof.de/cgi-bin/rechtsprechung/document.py?Gericht=bgh&amp;Art=en&amp;sid=326d6c8608c0e36f809fcb949f4cba74&amp;nr=57305&amp;pos=0&amp;anz=1" TargetMode="External"/><Relationship Id="rId18" Type="http://schemas.openxmlformats.org/officeDocument/2006/relationships/hyperlink" Target="http://juris.bundesgerichtshof.de/cgi-bin/rechtsprechung/document.py?Gericht=bgh&amp;Art=en&amp;nr=19862&amp;pos=0&amp;anz=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justiz.nrw.de/nrwe/olgs/hamm/j2006/15_W_166_06beschluss20061120.html" TargetMode="External"/><Relationship Id="rId12" Type="http://schemas.openxmlformats.org/officeDocument/2006/relationships/hyperlink" Target="https://www.justiz.nrw.de/nrwe/olgs/hamm/j2001/15_W_320_00beschluss20010306.html" TargetMode="External"/><Relationship Id="rId17" Type="http://schemas.openxmlformats.org/officeDocument/2006/relationships/hyperlink" Target="http://juris.bundesgerichtshof.de/cgi-bin/rechtsprechung/document.py?Gericht=bgh&amp;Art=en&amp;nr=65966&amp;pos=0&amp;anz=1" TargetMode="External"/><Relationship Id="rId2" Type="http://schemas.openxmlformats.org/officeDocument/2006/relationships/styles" Target="styles.xml"/><Relationship Id="rId16" Type="http://schemas.openxmlformats.org/officeDocument/2006/relationships/hyperlink" Target="https://www.justiz.nrw.de/nrwe/olgs/koeln/j2002/16_Wx_126_02beschluss20020826.html" TargetMode="External"/><Relationship Id="rId20" Type="http://schemas.openxmlformats.org/officeDocument/2006/relationships/hyperlink" Target="https://www.justiz.nrw.de/nrwe/olgs/duesseldorf/j2004/I_3_Wx_274_04beschluss20041203.html" TargetMode="External"/><Relationship Id="rId1" Type="http://schemas.openxmlformats.org/officeDocument/2006/relationships/customXml" Target="../customXml/item1.xml"/><Relationship Id="rId6" Type="http://schemas.openxmlformats.org/officeDocument/2006/relationships/hyperlink" Target="http://juris.bundesgerichtshof.de/cgi-bin/rechtsprechung/document.py?Gericht=bgh&amp;Art=en&amp;nr=22576&amp;pos=0&amp;anz=1" TargetMode="External"/><Relationship Id="rId11" Type="http://schemas.openxmlformats.org/officeDocument/2006/relationships/hyperlink" Target="https://www.justiz.nrw.de/nrwe/olgs/duesseldorf/j2002/3_Wx_348_01beschluss20020227.html" TargetMode="External"/><Relationship Id="rId5" Type="http://schemas.openxmlformats.org/officeDocument/2006/relationships/hyperlink" Target="https://openjur.de/u/167405.html" TargetMode="External"/><Relationship Id="rId15" Type="http://schemas.openxmlformats.org/officeDocument/2006/relationships/hyperlink" Target="http://juris.bundesgerichtshof.de/cgi-bin/rechtsprechung/document.py?Gericht=bgh&amp;Art=en&amp;sid=34d8c2f6cf166dc6d1a3671865675035&amp;nr=64461&amp;pos=0&amp;anz=1" TargetMode="External"/><Relationship Id="rId10" Type="http://schemas.openxmlformats.org/officeDocument/2006/relationships/hyperlink" Target="http://juris.bundesgerichtshof.de/cgi-bin/rechtsprechung/document.py?Gericht=bgh&amp;Art=en&amp;sid=5a54d52215f6f8d12cd388e0cb394e1b&amp;nr=66585&amp;pos=0&amp;anz=1" TargetMode="External"/><Relationship Id="rId19" Type="http://schemas.openxmlformats.org/officeDocument/2006/relationships/hyperlink" Target="http://juris.bundesgerichtshof.de/cgi-bin/rechtsprechung/document.py?Gericht=bgh&amp;Art=en&amp;sid=fc58eed5fa04c97a6ede84598aa12bc0&amp;nr=63502&amp;pos=0&amp;anz=1" TargetMode="External"/><Relationship Id="rId4" Type="http://schemas.openxmlformats.org/officeDocument/2006/relationships/webSettings" Target="webSettings.xml"/><Relationship Id="rId9" Type="http://schemas.openxmlformats.org/officeDocument/2006/relationships/hyperlink" Target="http://juris.bundesgerichtshof.de/cgi-bin/rechtsprechung/document.py?Gericht=bgh&amp;Art=en&amp;sid=a9eaee55ab848d210ee71d75c2f2e4fc&amp;nr=67418&amp;pos=0&amp;anz=1" TargetMode="External"/><Relationship Id="rId14" Type="http://schemas.openxmlformats.org/officeDocument/2006/relationships/hyperlink" Target="http://www.lareda.hessenrecht.hessen.de/jportal/portal/t/s15/page/bslaredaprod.psml?&amp;doc.id=KORE219392007%3Ajuris-r01&amp;showdoccase=1&amp;doc.part=L"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3E2DC-347F-4972-8940-49A90388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1110</Words>
  <Characters>6328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Schleypen</dc:creator>
  <cp:keywords/>
  <dc:description/>
  <cp:lastModifiedBy>Schleypen</cp:lastModifiedBy>
  <cp:revision>2</cp:revision>
  <dcterms:created xsi:type="dcterms:W3CDTF">2014-12-01T17:50:00Z</dcterms:created>
  <dcterms:modified xsi:type="dcterms:W3CDTF">2014-12-01T17:50:00Z</dcterms:modified>
</cp:coreProperties>
</file>